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10"/>
        <w:bidi w:val="0"/>
        <w:rPr>
          <w:rFonts w:hint="default"/>
          <w:lang w:val="en-US" w:eastAsia="zh-CN"/>
        </w:rPr>
      </w:pPr>
      <w:bookmarkStart w:id="0" w:name="OLE_LINK10"/>
      <w:r>
        <w:rPr>
          <w:rFonts w:hint="eastAsia"/>
          <w:lang w:val="zh-CN"/>
        </w:rPr>
        <w:t>杭州市外籍“急需紧缺”人才岗位目录</w:t>
      </w:r>
      <w:bookmarkEnd w:id="0"/>
    </w:p>
    <w:p>
      <w:pPr>
        <w:pStyle w:val="11"/>
        <w:bidi w:val="0"/>
        <w:rPr>
          <w:rFonts w:hint="eastAsia"/>
          <w:lang w:val="zh-CN"/>
        </w:rPr>
      </w:pPr>
      <w:r>
        <w:rPr>
          <w:rFonts w:hint="eastAsia"/>
          <w:lang w:val="zh-CN"/>
        </w:rPr>
        <w:t>（试行）</w:t>
      </w:r>
    </w:p>
    <w:p>
      <w:pPr>
        <w:rPr>
          <w:rFonts w:hint="eastAsia"/>
          <w:sz w:val="13"/>
          <w:szCs w:val="13"/>
          <w:lang w:val="zh-CN"/>
        </w:rPr>
      </w:pPr>
    </w:p>
    <w:tbl>
      <w:tblPr>
        <w:tblStyle w:val="8"/>
        <w:tblW w:w="129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1"/>
        <w:gridCol w:w="1537"/>
        <w:gridCol w:w="1860"/>
        <w:gridCol w:w="4740"/>
        <w:gridCol w:w="41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251" w:type="pc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594" w:type="pc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  <w:t>行业大类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  <w:t>岗位名称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  <w:t>人员基本要求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59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数字经济</w:t>
            </w: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FAE工程师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1.职业能力要求：良好的英文读写能力，可以独立阅读英文技术文档；具有良好的沟通能力和自学能力。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2.专业学历要求：取得电子，信息工程等相关专业学士及以上学位。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3.从业资历要求：具有1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3年及以上从事相关工作经历。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职业资格（认证）要求：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1.证书名称：ITIL资格证书、美国计算机协会会员资格（资深会员及以上）。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2.国别/地区：荷兰、美国。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颁发机构：国际信息科学考试协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会（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Examination Institute For Information Science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、信息系统考试委员会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Information Systems Examination Board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、美国计算机学会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Association for Computing Machinery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跨境电商产品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开发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</w:t>
            </w:r>
            <w:r>
              <w:rPr>
                <w:rFonts w:hint="eastAsia"/>
                <w:spacing w:val="-6"/>
                <w:kern w:val="2"/>
                <w:sz w:val="24"/>
                <w:szCs w:val="24"/>
              </w:rPr>
              <w:t>.职业能力要求：开发国际电商平台手工具、电动工具、机电类新产品；跟踪新产品开发进度，管控产品品质；搜集和整理产品资料和行业信息。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2.专业学历要求：取得市场营销、电子商务等相关专业大专及以上学位。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3.从业资历要求：具有1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3年及以上从事相关工作经历。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客户渠道拓展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经理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1.职业能力要求：敏锐的业务和客户洞察能力，优秀的数据挖掘能力；有成熟科学的客户成功理念和体系；优秀的团队管理能力；思维清晰活跃、战略理解能力强，高效执行力。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</w:t>
            </w:r>
            <w:r>
              <w:rPr>
                <w:rFonts w:hint="eastAsia"/>
                <w:spacing w:val="-10"/>
                <w:kern w:val="2"/>
                <w:sz w:val="24"/>
                <w:szCs w:val="24"/>
              </w:rPr>
              <w:t>专业学历要求：取得学士及以上学位，专业不限。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3.从业资历要求：具有7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9年及以上从事相关工作经历。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4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电商直播运营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1.职业能力要求：有创新思维，能不断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尝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试研究不同的运营方式；数据分析能力强；高效的执行力、抗压力、自驱力。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2.专业学历要求：取得电子商务等相关专业大专及以上学位。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3.从业资历要求：具有1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3年及以上从事相关工作经历。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5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短视频创意运营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1.职业能力要求：熟知行业的热度，了解当下流行趋势；有独立完成短视频脚本的创作能力；熟知制作供应商的流程。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2.专业学历要求：影视文学、新闻传播学、广告学、视觉设计等相关专业大专及以上学位。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cs="Times New Roman"/>
                <w:spacing w:val="-14"/>
                <w:kern w:val="2"/>
                <w:sz w:val="24"/>
                <w:szCs w:val="24"/>
              </w:rPr>
              <w:t>从业资历要求：具有1年及以上从事相关工作经历。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6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5G技术研发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工程师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了解5G技术领域国际前沿技术和业务发展趋势；熟悉5G传输、承载、核心网络基本功能接口协议流程；熟悉掌握LTE移动通信原理、优化流程等；具备无线通信产品的设计、开发、测试及项目交付经验；拥有SDN/NFV开发经验；了解智慧城市、车路协同、千兆光网、超高清设备等5G应用场景；具有5G技术在垂直行业中进行实际应用的产品研发和管理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2.专业学历要求：取得通讯、信号处理等相关专业学士及以上学位。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3.从业资历要求：具有2年及以上从事通信、信号处理等相关工作经历。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职业资格（认证）要求：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1.证书名称：ITIL资格证书、美国计算机协会会员资格（资深会员及以上）。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2.国别/地区：荷兰、美国。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3.颁发机构：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国际信息科学考试协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会（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Examination Institute For Information Science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、信息系统考试委员会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Information Systems Examination Board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、美国计算机学会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Association for Computing Machinery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7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软件工程师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1.职业能力要求：熟练掌握网络、操作系统、设计模式等基础知识；熟练掌握C语言； 熟悉iOS 常见框架、开源库、解决方案等。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2.专业学历要求：取得计算机等相关专业学士及以上学位。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3.从业资历要求：具有4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6年及以上从事相关工作经历。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职业资格（认证）要求：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1.证书名称：软件开发人员认证（ASD及SEM项目）、美国计算机协会会员资格（资深会员及以上）。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2.国别/地区：美国。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3.颁发机构：美国计算机学会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Association for Computing Machinery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8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云计算工程专家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1.职业能力要求：了解云计算领域国际前沿技术和业务发展趋势；熟悉云计算相关技术；具有云中心网络、虚拟化网络研发经验；熟悉主流的分布式存储方案；具有云计算平台的测试、运维和售后技术服务经验。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2.专业学历要求：取得计算机等相关专业学士及以上学位。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3.从业资历要求：具有2年及以上从事云计算等相关工作经历。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职业资格（认证）要求：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证书名称：谷歌云认证专业机器学习工程师，谷歌TensorFlow开发者认证，AWS认证DevOps工程师-专业，IBM认证数据架构师-大数据，IBM认证数据工程师-大数据，IBM认证专家-AI企业工作流V1、美国计算机协会会员资格（资深会员及以上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2.国别/地区：美国。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颁发机构：谷歌、IBM、美国计算机学会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Association for Computing Machinery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9</w:t>
            </w:r>
          </w:p>
        </w:tc>
        <w:tc>
          <w:tcPr>
            <w:tcW w:w="59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高端装备制造</w:t>
            </w: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机械设计工程师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1.职业能力要求：熟练使用1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2 种主流绘图设计软件；精通机械原理、气动、传动以及设计标准化知识；掌握机械加工工艺基础知识；具备团队合作精神及良好的人际沟通能力。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2.专业学历要求：取得机械设计及相关专业学士及以上学位。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3.从业资历要求：具有4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6年及以上从事机械设计等相关工作经历。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职业资格（认证）要求：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1.证书名称：固体力学领域的有限要素法分析技术者、热流体力学领域的分析技术者、振动领域的有限分子技术分析技术者。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2.国别/地区：日本。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3.颁发机构：日本机械工程师协会。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10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通信工程师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1.职业能力要求：掌握供电系统/高频开关电源/蓄电池/动力环境集中监控系统的拓扑结构和系统配置标准；良好的沟通能力。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2.专业学历要求：取得计算机科学、电子信息及相关专业本科及以上学位。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3.从业资历要求：经验不限。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职业资格（认证）要求：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1.证书名称：无线通信工程师认证。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2.国别/地区：美国。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3.颁发机构：美国电气与电子工程师协会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Institute of Electrical and Electronics Engineers, IEEE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11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量子通信研发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工程师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了解量子通讯领域国际前沿技术和业务发展趋势；熟悉常用的算法和数据结构；有量子算法相关方向研究经验；具备电磁场与微波、模拟电路和高频电路基础；熟悉射频器件设计；熟悉PCB制造过程；掌握射频测试的理论与方法，熟悉频谱仪、矢量网络分析仪等射频仪表的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2.专业学历要求：取得物理学等相关专业博士及以上学位。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3.从业资历要求：具有2年及以上从事量子通信等相关工作经历。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12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EDA工具研发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工程师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1.职业能力要求：了解EDA工具领域国际前沿技术和业务发展趋势；熟悉编译器原理，精通典型EDA工具；具备丰富的EDA开发和管理经验，熟悉IC设计流程；具有EDA系统管理和维护经验。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2.专业学历要求：取得计算机、电子等相关专业学士及以上学位。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3.从业资历要求：具有2年及以上从事EDA工具研发等相关工作经历。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13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集成电路材料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研发工程师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了解集成电路材料领域国际前沿技术和业务发展趋势；熟悉半导体器件物理及半导体工艺等相关专业知识；掌握化合物半导体、先进硅基半导体等器件的刻蚀制备工艺开发和优化能力；具有核心材料研发和量产的实际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2.专业学历要求：取得电路与系统、微电子等相关专业学士及以上学位。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3.从业资历要求：具有2年及以上从事集成电路材料研发等相关工作经历。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14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科学仪器制造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工程师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了解科学仪器领域国际前沿技术和业务发展趋势；掌握扎实的光学理论知识，包括几何光学、物理光学、激光器技术与原理、光学检测技术和方法等；熟练掌握Zemax、TracePro、Pro-E等常用光学设计和机械设计软件；具有光学设计和光路调试能力；具有光学检测仪器和平台开发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2.专业学历要求：取得精密仪器测试传感、电子电路等相关专业学士及以上学位。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3.从业资历要求：具有2年及以上从事科学仪器制造等相关工作经历。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15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电气/电子工程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专家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1.职业能力要求：了解电气电子领域国际前沿技术和业务发展趋势；具有丰富的电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气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电子工程设计或检修经验；能够解决本行业或领域内的电子电气技术需求；能够熟练使用PREEVision、CANoe等工具；熟悉业务内相关供应链情况，有丰富的供应商对接经验。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2.专业学历要求：取得科技、工程、信息技术等相关专业学士及以上学位。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3.从业资历要求：具有2年及以上从事电气及电子工程、计算机工程等相关工作经历。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职业资格（认证）要求：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1.证书名称：电子技术员-设备运转技术方向、电子技术员-建筑设施系统方向、电子技术员-信息系统技术方向。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2.国别/地区：德国。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3.颁发机构：Deutscher Industrie-und Handelskammertag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德国工商大会,简称DIHK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16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新材料研发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工程师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了解新材料领域国际前沿信息和技术发展趋势；熟悉新材料类产品的特性及工艺性能；掌握与岗位需求匹配的高性能膜材料、复合材料等新材料研发与应用技术；在新材料制备、开发、应用等领域具有较为丰富的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2.专业学历要求：取得材料化学、高分子物理等相关专业学士及以上学位。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3.从业资历要求：具有2年及以上从事新材料研发与应用等相关工作经历。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17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芯片设计工程师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1.职业能力要求：了解集成电路芯片设计领域国际前沿技术和业务发展趋势；熟悉无线通信和数字电路原理；熟练掌握VHDL语言编程技术及其仿真、综合、时序分析等；掌握Xilinx或Altera FPGA体系结构；具有模块级结构设计、RTL实现及相关验证工作经验；具有实际芯片流片和IP级开发经验，精通ASIC设计开发流程；精通ModelSim、Synplify、ISE、VIVADO等工具。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2.专业学历要求：取得通信或信号处理相关专业学士及以上学位。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3.从业资历要求：具有2年及以上从事芯片设计等相关工作经历。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18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机电一体化专家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1.职业能力要求：掌握建筑行业国际规则和标准；精通强弱电，暖通相关专业技术；有丰富的水电、机电、安装管理工作经验和项目管理经验，能够同时管理多个施工项目。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2.专业学历要求：取得机电一体化、机械等相关专业学士及以上学位。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3.从业资历要求：具有2年及以上从事系统技术、自动控制技术、机电一体化设备生产、运行等相关工作经历。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职业资格（认证）要求：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1.证书名称：固体力学领域的有限要素法分析技术者、热流体力学领域的分析技术者、振动领域的有限分子技术分析技术者。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2.国别/地区：日本。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3.颁发机构：日本机械工程师协会。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19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绿色建筑工程师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1.职业能力要求：熟悉国际绿色建筑评价标准；具有绿色建筑工程的规则设计、施工管理、咨询评估等经验；有良好的系统思维能力和复杂问题的快速决策能力。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2.专业学历要求：取得建筑、工程、环保等相关专业学士及以上学位。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3.从业资历要求：具有2年及以上从事绿色建筑项目等相关工作经历。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20</w:t>
            </w:r>
          </w:p>
        </w:tc>
        <w:tc>
          <w:tcPr>
            <w:tcW w:w="59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生命健康</w:t>
            </w: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创新制剂高级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研究员/主管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1.职业能力要求：扎实的药物制剂理论知识和操作技能；创新探索精神和良好的沟通协作能力；熟悉药品开发政策法规及相关技术要求；对工作踏实认真、积极主动，适应创新型团队组织文化。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2.专业学历要求：取得药物制剂或医疗器械相关专业硕士及以上学位。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3.从业资历要求：经验不限。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职业资格（认证）要求：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</w:t>
            </w:r>
            <w:r>
              <w:rPr>
                <w:rFonts w:hint="eastAsia"/>
                <w:spacing w:val="-6"/>
                <w:kern w:val="2"/>
                <w:sz w:val="24"/>
                <w:szCs w:val="24"/>
              </w:rPr>
              <w:t>证书名称：国际职业健康与安全证书、药剂师（执业药师）、认证毒理学专业人员。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-11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国别/地区：英国、澳大利亚、新加坡、以色列、美国、澳大利亚、新西兰。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3.颁发机构：英国国家职业安全与健康考试委员会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The National Examination Board in Occupational Safety and Health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、澳洲卫生执业者管理局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The Australian Health Practitioner Regulation Agency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、美国毒理学委员会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American Board of Toxicology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、英国药政总局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General Pharmaceutical Counci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）、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香港药剂业及毒药管理局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Pharmacy and Poisons Board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、新加坡药剂师理事会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Singapore Pharmacists Council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、以色列卫生部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Israeli Ministry of Health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、美国各州的医药专科委员会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U.S. State Boards of Pharmacy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、澳大利亚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卫生从业人员监管局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Australian Health Practitioner Regulation Agency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、新西兰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药剂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学委员会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New Zealand Pharmacy Council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）、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 xml:space="preserve">美国国家药房联合会                            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The National Association of Boards of Pharmacy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21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PCR研发工程师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 熟练操作基因工程基本技术；较强的英文文献阅读能力及学习能力；良好沟通能力、协调能力，工作条理性强，执行力强。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2.专业学历要求：生物、医药等相关专业硕士及以上学位。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3.从业资历要求：具有1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3年及以上从事相关工作经历。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职业资格（认证）要求：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1.证书名称：国际职业健康与安全证书、IMG、认证细胞技术专业人员。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2.国别/地区：英国、美国。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颁发机构：英国国家职业安全与健康考试委员会（The National Examination Board in Occupational Safety and Health）、外国医学院校毕业生教育委员会（美国）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The Educational Commission for Foreign Medical Graduates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、国际细胞学会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The International Academy of Cytology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22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代谢组学专家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</w:t>
            </w:r>
            <w:r>
              <w:rPr>
                <w:rFonts w:hint="eastAsia"/>
                <w:spacing w:val="-9"/>
                <w:kern w:val="2"/>
                <w:sz w:val="24"/>
                <w:szCs w:val="24"/>
              </w:rPr>
              <w:t>职业能力要求：熟练掌握各种类型样本制备方法、SDS-PAGE 电泳、酶解流程等技术手段；能熟练使用高分辨质谱、三重四级杆质谱等设备；能独立开展方法学的建立，并能独立解决项目过程中的技术问题；良好的沟通交流能力，抗压能力强。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2.专业学历要求：生物学、药学、化学等相关专业硕士及以上学位。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3.从业资历要求：具有4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6年及以上从事相关工作经历。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23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临床监察员/CRA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1.职业能力要求：了解临床试验管理规范和临床工作相关法规；勤奋进取，细致耐心；团队合作精神；良好的协调组织及沟通能力，亲和力强。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2.专业学历要求：临床医学、预防医学、护理学、临床药学等专业学士及以上学位。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3.从业资历要求：具有1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3年及以上从事相关工作经历。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职业资格（认证）要求：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1.证书名称：紧急护理国家高级技工资格证书与护士国家技工资格证书、协会会员、ACRP认证项目管理专业人员、注册临床研究助理、注册临床研究协调员、ACRP认证临床专业人员。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2.国别/地区：新加坡、美国。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3.颁发机构：新加坡工艺教育学院</w:t>
            </w:r>
            <w:r>
              <w:rPr>
                <w:rFonts w:hint="eastAsia"/>
                <w:spacing w:val="-17"/>
                <w:kern w:val="2"/>
                <w:sz w:val="24"/>
                <w:szCs w:val="24"/>
              </w:rPr>
              <w:t>（Institute of Technical Education Singapore）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、美国临床药理学会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American College of Clinical Pharmacology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 xml:space="preserve">、美国临床研究专业协会                           </w:t>
            </w:r>
            <w:r>
              <w:rPr>
                <w:rFonts w:hint="eastAsia" w:ascii="Times New Roman" w:hAnsi="Times New Roman" w:cs="Times New Roman"/>
                <w:spacing w:val="-17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17"/>
                <w:kern w:val="2"/>
                <w:sz w:val="24"/>
                <w:szCs w:val="24"/>
              </w:rPr>
              <w:t>Association of Clinical Research Professionals</w:t>
            </w:r>
            <w:r>
              <w:rPr>
                <w:rFonts w:hint="eastAsia" w:ascii="Times New Roman" w:hAnsi="Times New Roman" w:cs="Times New Roman"/>
                <w:spacing w:val="-17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pacing w:val="-17"/>
                <w:kern w:val="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24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主管检验师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1.职业能力要求：工作认真负责，有团队精神；具有较好的抗压能力、组织协调能力；具有良好的生物安全意识。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2.专业学历要求：取得医学检验或生物相关专业大专及以上学位。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3.从业资历要求：具有1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3年及以上从事相关工作经历。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职业资格（认证）要求：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证书名称：国际医学技术师、国际生物分子学技师、国际化学技术员、国际医学检验技师、国际妇科细胞学技术师。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25</w:t>
            </w:r>
          </w:p>
        </w:tc>
        <w:tc>
          <w:tcPr>
            <w:tcW w:w="5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临床诊断医师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了解国际先进的医疗理念和发展趋势；熟练掌握本专业理论知识，熟悉常见病、多发病的诊断和治疗原则；遵守职业伦理，具有良好的沟通能力、责任心和亲和力；能够针对不同人群制定相应的咨询或治疗方案，开展临床诊疗、手术等治疗工作；能够积极配合医疗、科研开展项目和技术革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2.专业学历要求：取得医学等相关专业学士及以上学位。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3.从业资历要求：具有2年及以上从事临床诊疗相关相关工作经历。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职业资格（认证）要求：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证书名称：国际职业健康与安全证书、职业治疗师、注册临床研究专业人员、ACRP认证项目管理专业人员、注册临床研究助理、注册临床研究协调员、ACRP认证临床专业人员、注册临床数据管理员、临床试验编程师、职业治疗师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ICA专家或高级国际认证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、物理治疗师。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2.国别/地区：英国、澳大利亚、美国。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</w:t>
            </w:r>
            <w:r>
              <w:rPr>
                <w:rFonts w:hint="eastAsia"/>
                <w:spacing w:val="-6"/>
                <w:kern w:val="2"/>
                <w:sz w:val="24"/>
                <w:szCs w:val="24"/>
              </w:rPr>
              <w:t>颁发机构：英国国家职业安全与健康考试委员会（The National Examination Board in Occupational Safety and Health）、澳洲卫生执业者管理局（Australian Health Practitioner Regulation Agency—Pharmacy  Board of Australia）、美国临床监察协会、美国临床研究专业协会、美国临床病理学学会</w:t>
            </w:r>
            <w:r>
              <w:rPr>
                <w:rFonts w:hint="eastAsia"/>
                <w:spacing w:val="-6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6"/>
                <w:kern w:val="2"/>
                <w:sz w:val="24"/>
                <w:szCs w:val="24"/>
              </w:rPr>
              <w:t>American Society for Clinical Pathology</w:t>
            </w:r>
            <w:r>
              <w:rPr>
                <w:rFonts w:hint="eastAsia"/>
                <w:spacing w:val="-6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6"/>
                <w:kern w:val="2"/>
                <w:sz w:val="24"/>
                <w:szCs w:val="24"/>
              </w:rPr>
              <w:t>、临床数据管理协会</w:t>
            </w:r>
            <w:r>
              <w:rPr>
                <w:rFonts w:hint="eastAsia"/>
                <w:spacing w:val="-6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6"/>
                <w:kern w:val="2"/>
                <w:sz w:val="24"/>
                <w:szCs w:val="24"/>
              </w:rPr>
              <w:t>The Society for Clinical Data Management）、SAS全球认证中心</w:t>
            </w:r>
            <w:r>
              <w:rPr>
                <w:rFonts w:hint="eastAsia"/>
                <w:spacing w:val="-6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6"/>
                <w:kern w:val="2"/>
                <w:sz w:val="24"/>
                <w:szCs w:val="24"/>
              </w:rPr>
              <w:t>SAS Global Certification</w:t>
            </w:r>
            <w:r>
              <w:rPr>
                <w:rFonts w:hint="eastAsia"/>
                <w:spacing w:val="-6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6"/>
                <w:kern w:val="2"/>
                <w:sz w:val="24"/>
                <w:szCs w:val="24"/>
              </w:rPr>
              <w:t>、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美国职业治疗认证委员会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American International Vocational Certification Association</w:t>
            </w:r>
            <w:r>
              <w:rPr>
                <w:rFonts w:hint="eastAsia"/>
                <w:spacing w:val="-11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1"/>
                <w:kern w:val="2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4</w:t>
            </w:r>
            <w:r>
              <w:rPr>
                <w:spacing w:val="0"/>
                <w:kern w:val="2"/>
                <w:sz w:val="24"/>
                <w:szCs w:val="24"/>
              </w:rPr>
              <w:t>.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审批要求：需办理外籍医师在华短期执业许可。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26</w:t>
            </w:r>
          </w:p>
        </w:tc>
        <w:tc>
          <w:tcPr>
            <w:tcW w:w="59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教育</w:t>
            </w: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基础科学与应用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创新资深研究员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1.职业能力要求：拥有国际化视野和跨文化工作背景；掌握专业领域内学术前沿理论，能够把握本领域技术发展趋势，提出创新性研究思想；具有优秀的学习能力、开拓创新能力。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2.专业学历要求：取得科技、工程等相关专业硕士及以上学位。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3.从业资历要求：具有2年及以上从事基础科学与应用创新研究等相关工作经历。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27</w:t>
            </w:r>
          </w:p>
        </w:tc>
        <w:tc>
          <w:tcPr>
            <w:tcW w:w="59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商务服务</w:t>
            </w: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国际贸易争议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解决专家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1.职业能力要求：掌握国际贸易法律与规则等专业知识；具有良好的沟通交流和谈判能力；能够处理国际贸易专业法律咨询、参与商务谈判等相关非诉讼业务。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2.专业学历要求：取得法律、国际贸易等相关专业学士及以上学位。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3.从业资历要求：具有2年及以上从事跨境业务争议解决等相关工作经历。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28</w:t>
            </w:r>
          </w:p>
        </w:tc>
        <w:tc>
          <w:tcPr>
            <w:tcW w:w="59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金融</w:t>
            </w: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国际贸易金融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专家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掌握国际贸易、国际金融政策和准则；精通跨境贸易、投融资等专业知识，深入理解金融行业的业务运营规律；对金融科技发展前沿有深刻理解；具有良好的市场分析、商务谈判和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2.专业学历要求：取得金融等相关专业学士及以上学位。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3.从业资历要求：具有2年及以上从事金融、国际贸易、投资管理等相关工作经历。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29</w:t>
            </w:r>
          </w:p>
        </w:tc>
        <w:tc>
          <w:tcPr>
            <w:tcW w:w="59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旅游休闲</w:t>
            </w:r>
          </w:p>
        </w:tc>
        <w:tc>
          <w:tcPr>
            <w:tcW w:w="7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酒店从业人员</w:t>
            </w:r>
          </w:p>
        </w:tc>
        <w:tc>
          <w:tcPr>
            <w:tcW w:w="18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1.职业能力要求：较好的学习能力、理解能力及基本判断能力；较强的语言学习能力</w:t>
            </w:r>
            <w:r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pacing w:val="0"/>
                <w:kern w:val="2"/>
                <w:sz w:val="24"/>
                <w:szCs w:val="24"/>
              </w:rPr>
              <w:t>较强的领导、组织、协调、人际关系沟通能力和协作精神；较强的思维能力和应变能力。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2.专业学历要求：酒店管理、旅游管理等相关专业，专科以上。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spacing w:val="0"/>
                <w:kern w:val="2"/>
                <w:sz w:val="24"/>
                <w:szCs w:val="24"/>
              </w:rPr>
            </w:pPr>
            <w:r>
              <w:rPr>
                <w:rFonts w:hint="eastAsia"/>
                <w:spacing w:val="0"/>
                <w:kern w:val="2"/>
                <w:sz w:val="24"/>
                <w:szCs w:val="24"/>
              </w:rPr>
              <w:t>3.从业资历要求：具有国际知名品牌酒店或国内知名酒店工作经验。</w:t>
            </w:r>
          </w:p>
        </w:tc>
        <w:tc>
          <w:tcPr>
            <w:tcW w:w="16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textAlignment w:val="auto"/>
              <w:rPr>
                <w:rFonts w:hint="eastAsia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pStyle w:val="10"/>
        <w:bidi w:val="0"/>
        <w:rPr>
          <w:rFonts w:hint="eastAsia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/>
          <w:b/>
          <w:color w:val="auto"/>
          <w:spacing w:val="2"/>
          <w:sz w:val="32"/>
        </w:rPr>
        <w:sectPr>
          <w:pgSz w:w="16838" w:h="11906" w:orient="landscape"/>
          <w:pgMar w:top="1701" w:right="1984" w:bottom="1587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615" w:charSpace="-1249"/>
        </w:sectPr>
      </w:pPr>
      <w:bookmarkStart w:id="1" w:name="_GoBack"/>
      <w:bookmarkEnd w:id="1"/>
    </w:p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8"/>
      </w:pPr>
      <w:r>
        <w:separator/>
      </w:r>
    </w:p>
  </w:endnote>
  <w:endnote w:type="continuationSeparator" w:id="1">
    <w:p>
      <w:pPr>
        <w:spacing w:line="240" w:lineRule="auto"/>
        <w:ind w:firstLine="62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8"/>
      </w:pPr>
      <w:r>
        <w:separator/>
      </w:r>
    </w:p>
  </w:footnote>
  <w:footnote w:type="continuationSeparator" w:id="1">
    <w:p>
      <w:pPr>
        <w:spacing w:line="240" w:lineRule="auto"/>
        <w:ind w:firstLine="62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F5793C"/>
    <w:rsid w:val="D3F5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2">
    <w:name w:val="heading 3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336" w:lineRule="auto"/>
      <w:ind w:firstLine="856" w:firstLineChars="200"/>
      <w:outlineLvl w:val="2"/>
    </w:pPr>
    <w:rPr>
      <w:b/>
      <w:bCs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附件标题"/>
    <w:basedOn w:val="5"/>
    <w:next w:val="1"/>
    <w:qFormat/>
    <w:uiPriority w:val="0"/>
    <w:rPr>
      <w:sz w:val="36"/>
      <w:szCs w:val="36"/>
    </w:rPr>
  </w:style>
  <w:style w:type="paragraph" w:customStyle="1" w:styleId="11">
    <w:name w:val="小标"/>
    <w:basedOn w:val="4"/>
    <w:next w:val="1"/>
    <w:qFormat/>
    <w:uiPriority w:val="0"/>
    <w:pPr>
      <w:spacing w:line="300" w:lineRule="auto"/>
      <w:ind w:firstLine="0" w:firstLineChars="0"/>
      <w:jc w:val="center"/>
    </w:pPr>
    <w:rPr>
      <w:spacing w:val="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2023-01-06T09:34:00Z</dcterms:created>
  <dc:creator>gxs_zhudi</dc:creator>
  <cp:lastModifiedBy>gxs_zhudi</cp:lastModifiedBy>
  <dcterms:modified xsi:type="dcterms:W3CDTF">2023-01-06T09:34:53Z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